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440"/>
        <w:rPr/>
      </w:pPr>
      <w:r w:rsidDel="00000000" w:rsidR="00000000" w:rsidRPr="00000000">
        <w:rPr>
          <w:rtl w:val="0"/>
        </w:rPr>
        <w:t xml:space="preserve">Prof Padma Sarangapani on SOTTTER Report: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https://youtu.be/yUk5AEOsLBA?si=D3v0UQTlBaxttElv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Dr. Jyoti Bawane on SOTTTER-23 (insights from primary survey):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https://www.youtube.com/watch?v=jBe3gUNwsE4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yUk5AEOsLBA?si=D3v0UQTlBaxttElv" TargetMode="External"/><Relationship Id="rId7" Type="http://schemas.openxmlformats.org/officeDocument/2006/relationships/hyperlink" Target="https://www.youtube.com/watch?v=jBe3gUNws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